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6F" w:rsidRDefault="00175477">
      <w:r>
        <w:rPr>
          <w:noProof/>
          <w:lang w:val="hr-HR" w:eastAsia="hr-HR"/>
        </w:rPr>
        <mc:AlternateContent>
          <mc:Choice Requires="wps">
            <w:drawing>
              <wp:anchor distT="0" distB="0" distL="114300" distR="114300" simplePos="0" relativeHeight="251664384" behindDoc="0" locked="0" layoutInCell="1" allowOverlap="1" wp14:anchorId="2A9B1723" wp14:editId="48A8645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175477" w:rsidRPr="00175477" w:rsidRDefault="001861B8" w:rsidP="00175477">
                            <w:pPr>
                              <w:rPr>
                                <w:rFonts w:ascii="Arial" w:hAnsi="Arial" w:cs="Arial"/>
                                <w:b/>
                                <w:color w:val="D1D33B"/>
                                <w:sz w:val="48"/>
                                <w:lang w:val="en-US"/>
                              </w:rPr>
                            </w:pPr>
                            <w:r>
                              <w:rPr>
                                <w:rFonts w:ascii="Arial" w:hAnsi="Arial" w:cs="Arial"/>
                                <w:b/>
                                <w:color w:val="D1D33B"/>
                                <w:sz w:val="48"/>
                                <w:lang w:val="en-US"/>
                              </w:rPr>
                              <w:t>TUTOR MANUAL</w:t>
                            </w:r>
                          </w:p>
                          <w:p w:rsidR="00175477" w:rsidRPr="00FC6111" w:rsidRDefault="00175477" w:rsidP="00175477">
                            <w:pPr>
                              <w:rPr>
                                <w:rFonts w:ascii="Arial" w:hAnsi="Arial" w:cs="Arial"/>
                                <w:i/>
                                <w:sz w:val="36"/>
                                <w:lang w:val="en-US"/>
                              </w:rPr>
                            </w:pPr>
                          </w:p>
                          <w:p w:rsidR="00175477" w:rsidRPr="00175477" w:rsidRDefault="00B47A46" w:rsidP="00175477">
                            <w:pPr>
                              <w:rPr>
                                <w:rFonts w:ascii="Arial" w:hAnsi="Arial" w:cs="Arial"/>
                                <w:i/>
                                <w:color w:val="588032"/>
                                <w:sz w:val="36"/>
                                <w:lang w:val="en-US"/>
                              </w:rPr>
                            </w:pPr>
                            <w:r>
                              <w:rPr>
                                <w:rFonts w:ascii="Arial" w:hAnsi="Arial" w:cs="Arial"/>
                                <w:i/>
                                <w:color w:val="588032"/>
                                <w:sz w:val="36"/>
                                <w:lang w:val="en-US"/>
                              </w:rPr>
                              <w:t>Diversity as an advantage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9B1723"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1861B8" w:rsidP="00175477">
                      <w:pPr>
                        <w:rPr>
                          <w:rFonts w:ascii="Arial" w:hAnsi="Arial" w:cs="Arial"/>
                          <w:b/>
                          <w:color w:val="D1D33B"/>
                          <w:sz w:val="48"/>
                          <w:lang w:val="en-US"/>
                        </w:rPr>
                      </w:pPr>
                      <w:r>
                        <w:rPr>
                          <w:rFonts w:ascii="Arial" w:hAnsi="Arial" w:cs="Arial"/>
                          <w:b/>
                          <w:color w:val="D1D33B"/>
                          <w:sz w:val="48"/>
                          <w:lang w:val="en-US"/>
                        </w:rPr>
                        <w:t>TUTOR MANUAL</w:t>
                      </w:r>
                    </w:p>
                    <w:p w:rsidR="00175477" w:rsidRPr="00FC6111" w:rsidRDefault="00175477" w:rsidP="00175477">
                      <w:pPr>
                        <w:rPr>
                          <w:rFonts w:ascii="Arial" w:hAnsi="Arial" w:cs="Arial"/>
                          <w:i/>
                          <w:sz w:val="36"/>
                          <w:lang w:val="en-US"/>
                        </w:rPr>
                      </w:pPr>
                    </w:p>
                    <w:p w:rsidR="00175477" w:rsidRPr="00175477" w:rsidRDefault="00B47A46" w:rsidP="00175477">
                      <w:pPr>
                        <w:rPr>
                          <w:rFonts w:ascii="Arial" w:hAnsi="Arial" w:cs="Arial"/>
                          <w:i/>
                          <w:color w:val="588032"/>
                          <w:sz w:val="36"/>
                          <w:lang w:val="en-US"/>
                        </w:rPr>
                      </w:pPr>
                      <w:r>
                        <w:rPr>
                          <w:rFonts w:ascii="Arial" w:hAnsi="Arial" w:cs="Arial"/>
                          <w:i/>
                          <w:color w:val="588032"/>
                          <w:sz w:val="36"/>
                          <w:lang w:val="en-US"/>
                        </w:rPr>
                        <w:t>Diversity as an advantage</w:t>
                      </w:r>
                      <w:bookmarkStart w:id="1" w:name="_GoBack"/>
                      <w:bookmarkEnd w:id="1"/>
                    </w:p>
                  </w:txbxContent>
                </v:textbox>
                <w10:wrap type="square"/>
              </v:shape>
            </w:pict>
          </mc:Fallback>
        </mc:AlternateContent>
      </w:r>
      <w:r>
        <w:rPr>
          <w:noProof/>
          <w:lang w:val="hr-HR" w:eastAsia="hr-HR"/>
        </w:rPr>
        <w:drawing>
          <wp:anchor distT="0" distB="0" distL="114300" distR="114300" simplePos="0" relativeHeight="251662336" behindDoc="0" locked="0" layoutInCell="1" allowOverlap="1" wp14:anchorId="73740C7F" wp14:editId="54F3EA0D">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rsidR="001861B8" w:rsidRPr="001861B8" w:rsidRDefault="001861B8" w:rsidP="001861B8">
      <w:pPr>
        <w:rPr>
          <w:b/>
          <w:sz w:val="28"/>
        </w:rPr>
      </w:pPr>
      <w:r w:rsidRPr="001861B8">
        <w:rPr>
          <w:b/>
          <w:sz w:val="28"/>
        </w:rPr>
        <w:lastRenderedPageBreak/>
        <w:t xml:space="preserve">Aim </w:t>
      </w:r>
    </w:p>
    <w:p w:rsidR="001861B8" w:rsidRDefault="001861B8" w:rsidP="006555D0">
      <w:pPr>
        <w:jc w:val="both"/>
        <w:rPr>
          <w:sz w:val="28"/>
        </w:rPr>
      </w:pPr>
    </w:p>
    <w:p w:rsidR="001861B8" w:rsidRPr="00924382" w:rsidRDefault="001861B8" w:rsidP="006555D0">
      <w:pPr>
        <w:jc w:val="both"/>
        <w:rPr>
          <w:sz w:val="28"/>
        </w:rPr>
      </w:pPr>
      <w:r w:rsidRPr="00924382">
        <w:rPr>
          <w:sz w:val="28"/>
        </w:rPr>
        <w:t xml:space="preserve">The aim of this </w:t>
      </w:r>
      <w:r>
        <w:rPr>
          <w:sz w:val="28"/>
        </w:rPr>
        <w:t xml:space="preserve">resource is </w:t>
      </w:r>
      <w:r w:rsidRPr="00924382">
        <w:rPr>
          <w:sz w:val="28"/>
        </w:rPr>
        <w:t xml:space="preserve">to </w:t>
      </w:r>
      <w:r>
        <w:rPr>
          <w:sz w:val="28"/>
        </w:rPr>
        <w:t xml:space="preserve">introduce the concept of </w:t>
      </w:r>
      <w:r w:rsidR="007578CA">
        <w:rPr>
          <w:sz w:val="28"/>
        </w:rPr>
        <w:t>values and cultural identity</w:t>
      </w:r>
      <w:r>
        <w:rPr>
          <w:sz w:val="28"/>
        </w:rPr>
        <w:t xml:space="preserve"> and examine the complexity of the integration process in a new country, and to support participants understand the similarities and differences to be found in their host country.</w:t>
      </w:r>
    </w:p>
    <w:p w:rsidR="001861B8" w:rsidRDefault="001861B8" w:rsidP="001861B8">
      <w:pPr>
        <w:rPr>
          <w:sz w:val="28"/>
        </w:rPr>
      </w:pPr>
    </w:p>
    <w:p w:rsidR="001861B8" w:rsidRDefault="001861B8" w:rsidP="001861B8">
      <w:pPr>
        <w:rPr>
          <w:b/>
          <w:sz w:val="28"/>
        </w:rPr>
      </w:pPr>
      <w:r w:rsidRPr="001861B8">
        <w:rPr>
          <w:b/>
          <w:sz w:val="28"/>
        </w:rPr>
        <w:t>O</w:t>
      </w:r>
      <w:r>
        <w:rPr>
          <w:b/>
          <w:sz w:val="28"/>
        </w:rPr>
        <w:t xml:space="preserve">bjective </w:t>
      </w:r>
    </w:p>
    <w:p w:rsidR="001861B8" w:rsidRPr="001861B8" w:rsidRDefault="001861B8" w:rsidP="001861B8">
      <w:pPr>
        <w:rPr>
          <w:b/>
          <w:sz w:val="28"/>
        </w:rPr>
      </w:pPr>
    </w:p>
    <w:p w:rsidR="001861B8" w:rsidRDefault="001861B8" w:rsidP="001861B8">
      <w:pPr>
        <w:rPr>
          <w:sz w:val="28"/>
        </w:rPr>
      </w:pPr>
      <w:r>
        <w:rPr>
          <w:sz w:val="28"/>
        </w:rPr>
        <w:t>The objective of th</w:t>
      </w:r>
      <w:r w:rsidR="007578CA">
        <w:rPr>
          <w:sz w:val="28"/>
        </w:rPr>
        <w:t>is paper</w:t>
      </w:r>
      <w:r w:rsidRPr="00924382">
        <w:rPr>
          <w:sz w:val="28"/>
        </w:rPr>
        <w:t xml:space="preserve"> is to </w:t>
      </w:r>
      <w:r w:rsidRPr="00B52E96">
        <w:rPr>
          <w:sz w:val="28"/>
        </w:rPr>
        <w:t xml:space="preserve">encourage and enable </w:t>
      </w:r>
      <w:r>
        <w:rPr>
          <w:sz w:val="28"/>
        </w:rPr>
        <w:t xml:space="preserve">participants </w:t>
      </w:r>
      <w:r w:rsidRPr="00B52E96">
        <w:rPr>
          <w:sz w:val="28"/>
        </w:rPr>
        <w:t xml:space="preserve">to understand the key </w:t>
      </w:r>
      <w:r>
        <w:rPr>
          <w:sz w:val="28"/>
        </w:rPr>
        <w:t xml:space="preserve">services and supports available to them and to </w:t>
      </w:r>
      <w:r w:rsidR="00EB3E0E">
        <w:rPr>
          <w:sz w:val="28"/>
        </w:rPr>
        <w:t xml:space="preserve">use the integration wheel tool to </w:t>
      </w:r>
      <w:r>
        <w:rPr>
          <w:sz w:val="28"/>
        </w:rPr>
        <w:t xml:space="preserve">identify areas were integration is strong and highlight areas of the integration process that they may require further consideration.  </w:t>
      </w:r>
    </w:p>
    <w:p w:rsidR="001861B8" w:rsidRDefault="001861B8" w:rsidP="001861B8">
      <w:pPr>
        <w:rPr>
          <w:b/>
          <w:sz w:val="28"/>
        </w:rPr>
      </w:pPr>
    </w:p>
    <w:p w:rsidR="001861B8" w:rsidRPr="001861B8" w:rsidRDefault="001861B8" w:rsidP="001861B8">
      <w:pPr>
        <w:rPr>
          <w:b/>
          <w:sz w:val="28"/>
        </w:rPr>
      </w:pPr>
      <w:r w:rsidRPr="001861B8">
        <w:rPr>
          <w:b/>
          <w:sz w:val="28"/>
        </w:rPr>
        <w:t>Resources</w:t>
      </w:r>
    </w:p>
    <w:p w:rsidR="001861B8" w:rsidRPr="00924382" w:rsidRDefault="001861B8" w:rsidP="001861B8">
      <w:pPr>
        <w:pStyle w:val="ListParagraph"/>
        <w:numPr>
          <w:ilvl w:val="0"/>
          <w:numId w:val="1"/>
        </w:numPr>
        <w:rPr>
          <w:sz w:val="28"/>
        </w:rPr>
      </w:pPr>
      <w:r>
        <w:rPr>
          <w:sz w:val="28"/>
        </w:rPr>
        <w:t xml:space="preserve">The </w:t>
      </w:r>
      <w:r w:rsidR="007578CA">
        <w:rPr>
          <w:sz w:val="28"/>
        </w:rPr>
        <w:t>Values and Cultural Identity</w:t>
      </w:r>
      <w:r>
        <w:rPr>
          <w:sz w:val="28"/>
        </w:rPr>
        <w:t xml:space="preserve"> </w:t>
      </w:r>
      <w:r w:rsidRPr="00924382">
        <w:rPr>
          <w:sz w:val="28"/>
        </w:rPr>
        <w:t>PowerPoint with animated presentation</w:t>
      </w:r>
    </w:p>
    <w:p w:rsidR="001861B8" w:rsidRPr="00924382" w:rsidRDefault="001861B8" w:rsidP="001861B8">
      <w:pPr>
        <w:pStyle w:val="ListParagraph"/>
        <w:ind w:left="3600"/>
        <w:rPr>
          <w:sz w:val="28"/>
        </w:rPr>
      </w:pPr>
      <w:r w:rsidRPr="00924382">
        <w:rPr>
          <w:sz w:val="28"/>
        </w:rPr>
        <w:t>or</w:t>
      </w:r>
    </w:p>
    <w:p w:rsidR="001861B8" w:rsidRPr="00924382" w:rsidRDefault="001861B8" w:rsidP="001861B8">
      <w:pPr>
        <w:pStyle w:val="ListParagraph"/>
        <w:numPr>
          <w:ilvl w:val="0"/>
          <w:numId w:val="1"/>
        </w:numPr>
        <w:rPr>
          <w:sz w:val="28"/>
        </w:rPr>
      </w:pPr>
      <w:r>
        <w:rPr>
          <w:sz w:val="28"/>
        </w:rPr>
        <w:t xml:space="preserve">The </w:t>
      </w:r>
      <w:r w:rsidR="007578CA">
        <w:rPr>
          <w:sz w:val="28"/>
        </w:rPr>
        <w:t>Values and Cultural Identity</w:t>
      </w:r>
      <w:r w:rsidRPr="00924382">
        <w:rPr>
          <w:sz w:val="28"/>
        </w:rPr>
        <w:t xml:space="preserve"> i</w:t>
      </w:r>
      <w:r>
        <w:rPr>
          <w:sz w:val="28"/>
        </w:rPr>
        <w:t>llustrated learner workbook</w:t>
      </w:r>
    </w:p>
    <w:p w:rsidR="001861B8" w:rsidRDefault="001861B8" w:rsidP="001861B8">
      <w:pPr>
        <w:pStyle w:val="ListParagraph"/>
        <w:numPr>
          <w:ilvl w:val="0"/>
          <w:numId w:val="1"/>
        </w:numPr>
        <w:rPr>
          <w:sz w:val="28"/>
        </w:rPr>
      </w:pPr>
      <w:r>
        <w:rPr>
          <w:sz w:val="28"/>
        </w:rPr>
        <w:t>Tutor h</w:t>
      </w:r>
      <w:r w:rsidRPr="00924382">
        <w:rPr>
          <w:sz w:val="28"/>
        </w:rPr>
        <w:t>andbook</w:t>
      </w:r>
    </w:p>
    <w:p w:rsidR="001861B8" w:rsidRPr="00924382" w:rsidRDefault="001861B8" w:rsidP="001861B8">
      <w:pPr>
        <w:pStyle w:val="ListParagraph"/>
        <w:numPr>
          <w:ilvl w:val="0"/>
          <w:numId w:val="1"/>
        </w:numPr>
        <w:rPr>
          <w:sz w:val="28"/>
        </w:rPr>
      </w:pPr>
      <w:r>
        <w:rPr>
          <w:sz w:val="28"/>
        </w:rPr>
        <w:t>The Integration Wheel</w:t>
      </w:r>
    </w:p>
    <w:p w:rsidR="001861B8" w:rsidRPr="001861B8" w:rsidRDefault="001861B8" w:rsidP="001861B8">
      <w:pPr>
        <w:rPr>
          <w:b/>
          <w:sz w:val="28"/>
        </w:rPr>
      </w:pPr>
      <w:r w:rsidRPr="001861B8">
        <w:rPr>
          <w:b/>
          <w:sz w:val="28"/>
        </w:rPr>
        <w:t>Time Required</w:t>
      </w:r>
    </w:p>
    <w:p w:rsidR="001861B8" w:rsidRDefault="001861B8" w:rsidP="001861B8">
      <w:pPr>
        <w:rPr>
          <w:sz w:val="28"/>
        </w:rPr>
      </w:pPr>
    </w:p>
    <w:p w:rsidR="001861B8" w:rsidRPr="00924382" w:rsidRDefault="001861B8" w:rsidP="001861B8">
      <w:pPr>
        <w:rPr>
          <w:sz w:val="28"/>
        </w:rPr>
      </w:pPr>
      <w:r>
        <w:rPr>
          <w:sz w:val="28"/>
        </w:rPr>
        <w:t xml:space="preserve">It should take between </w:t>
      </w:r>
      <w:r w:rsidR="007578CA">
        <w:rPr>
          <w:sz w:val="28"/>
        </w:rPr>
        <w:t>90</w:t>
      </w:r>
      <w:r w:rsidRPr="00924382">
        <w:rPr>
          <w:sz w:val="28"/>
        </w:rPr>
        <w:t xml:space="preserve"> minutes to go through this exercise depending on the size of the group and the response of participants to the questions that follow.</w:t>
      </w:r>
    </w:p>
    <w:p w:rsidR="001861B8" w:rsidRDefault="001861B8" w:rsidP="001861B8">
      <w:pPr>
        <w:rPr>
          <w:sz w:val="28"/>
        </w:rPr>
      </w:pPr>
    </w:p>
    <w:p w:rsidR="001861B8" w:rsidRPr="001861B8" w:rsidRDefault="001861B8" w:rsidP="001861B8">
      <w:pPr>
        <w:rPr>
          <w:b/>
          <w:sz w:val="28"/>
        </w:rPr>
      </w:pPr>
      <w:r w:rsidRPr="001861B8">
        <w:rPr>
          <w:b/>
          <w:sz w:val="28"/>
        </w:rPr>
        <w:t>Methodology</w:t>
      </w:r>
    </w:p>
    <w:p w:rsidR="001861B8" w:rsidRDefault="001861B8" w:rsidP="001861B8">
      <w:pPr>
        <w:rPr>
          <w:sz w:val="28"/>
        </w:rPr>
      </w:pPr>
    </w:p>
    <w:p w:rsidR="001861B8" w:rsidRDefault="007578CA" w:rsidP="00430F90">
      <w:pPr>
        <w:jc w:val="both"/>
        <w:rPr>
          <w:sz w:val="28"/>
        </w:rPr>
      </w:pPr>
      <w:r>
        <w:rPr>
          <w:sz w:val="28"/>
        </w:rPr>
        <w:t>Try to play a game “None of us are racist but…” to e</w:t>
      </w:r>
      <w:r w:rsidRPr="007578CA">
        <w:rPr>
          <w:sz w:val="28"/>
        </w:rPr>
        <w:t>ncourage stereotypes and prejudices of participants on the other individuals, minorities and "different" to raise self-awareness about limitations of tolerance and conflict resolution contrast different values of participants.</w:t>
      </w:r>
      <w:r w:rsidRPr="007578CA">
        <w:t xml:space="preserve"> </w:t>
      </w:r>
      <w:r w:rsidRPr="007578CA">
        <w:rPr>
          <w:sz w:val="28"/>
        </w:rPr>
        <w:t>Show the animated PowerPoint or distribute the illustrated workbook. Use the integration wheel template to support participants to brainstorm and identify the key services and supports that are required to support their social and civic integration into their host community.</w:t>
      </w:r>
      <w:r>
        <w:rPr>
          <w:sz w:val="28"/>
        </w:rPr>
        <w:t xml:space="preserve"> </w:t>
      </w:r>
      <w:r w:rsidR="001861B8">
        <w:rPr>
          <w:sz w:val="28"/>
        </w:rPr>
        <w:t>Once the services and supports have been identified and marked on the individual integration wheel templates, ask the participants to plot their current experience of the process. Use the</w:t>
      </w:r>
      <w:r w:rsidR="001861B8" w:rsidRPr="00924382">
        <w:rPr>
          <w:sz w:val="28"/>
        </w:rPr>
        <w:t xml:space="preserve"> questions that follow to stimulate debate within the group.</w:t>
      </w:r>
    </w:p>
    <w:p w:rsidR="001861B8" w:rsidRDefault="001861B8" w:rsidP="001861B8">
      <w:pPr>
        <w:rPr>
          <w:sz w:val="28"/>
        </w:rPr>
      </w:pPr>
    </w:p>
    <w:p w:rsidR="001861B8" w:rsidRDefault="001861B8" w:rsidP="001861B8">
      <w:pPr>
        <w:rPr>
          <w:sz w:val="28"/>
        </w:rPr>
      </w:pPr>
    </w:p>
    <w:p w:rsidR="001861B8" w:rsidRDefault="001861B8" w:rsidP="001861B8">
      <w:pPr>
        <w:rPr>
          <w:sz w:val="28"/>
        </w:rPr>
      </w:pPr>
    </w:p>
    <w:p w:rsidR="001861B8" w:rsidRPr="00924382" w:rsidRDefault="001861B8" w:rsidP="001861B8">
      <w:pPr>
        <w:rPr>
          <w:sz w:val="28"/>
        </w:rPr>
      </w:pPr>
    </w:p>
    <w:p w:rsidR="001861B8" w:rsidRDefault="001861B8" w:rsidP="001861B8">
      <w:pPr>
        <w:rPr>
          <w:b/>
          <w:sz w:val="28"/>
        </w:rPr>
      </w:pPr>
      <w:r w:rsidRPr="001861B8">
        <w:rPr>
          <w:b/>
          <w:sz w:val="28"/>
        </w:rPr>
        <w:t>Questions</w:t>
      </w:r>
    </w:p>
    <w:p w:rsidR="001861B8" w:rsidRPr="001861B8" w:rsidRDefault="001861B8" w:rsidP="001861B8">
      <w:pPr>
        <w:rPr>
          <w:b/>
          <w:sz w:val="28"/>
        </w:rPr>
      </w:pPr>
    </w:p>
    <w:p w:rsidR="001861B8" w:rsidRDefault="001861B8" w:rsidP="001861B8">
      <w:pPr>
        <w:pStyle w:val="ListParagraph"/>
        <w:numPr>
          <w:ilvl w:val="0"/>
          <w:numId w:val="2"/>
        </w:numPr>
        <w:rPr>
          <w:sz w:val="28"/>
        </w:rPr>
      </w:pPr>
      <w:r w:rsidRPr="00924382">
        <w:rPr>
          <w:sz w:val="28"/>
        </w:rPr>
        <w:t xml:space="preserve">Ask participants to </w:t>
      </w:r>
      <w:r>
        <w:rPr>
          <w:sz w:val="28"/>
        </w:rPr>
        <w:t>give examples of areas were</w:t>
      </w:r>
      <w:r w:rsidR="007578CA">
        <w:rPr>
          <w:sz w:val="28"/>
        </w:rPr>
        <w:t xml:space="preserve"> </w:t>
      </w:r>
      <w:r>
        <w:rPr>
          <w:sz w:val="28"/>
        </w:rPr>
        <w:t xml:space="preserve">they feel their integration in the host community is strong. Encourage participants to explore why this is so and share their experiences. </w:t>
      </w:r>
    </w:p>
    <w:p w:rsidR="001861B8" w:rsidRDefault="001861B8" w:rsidP="001861B8">
      <w:pPr>
        <w:pStyle w:val="ListParagraph"/>
        <w:numPr>
          <w:ilvl w:val="0"/>
          <w:numId w:val="2"/>
        </w:numPr>
        <w:rPr>
          <w:sz w:val="28"/>
        </w:rPr>
      </w:pPr>
      <w:r w:rsidRPr="00924382">
        <w:rPr>
          <w:sz w:val="28"/>
        </w:rPr>
        <w:t xml:space="preserve">Ask participants to </w:t>
      </w:r>
      <w:r>
        <w:rPr>
          <w:sz w:val="28"/>
        </w:rPr>
        <w:t>give examples of areas were</w:t>
      </w:r>
      <w:r w:rsidR="007578CA">
        <w:rPr>
          <w:sz w:val="28"/>
        </w:rPr>
        <w:t xml:space="preserve"> </w:t>
      </w:r>
      <w:r>
        <w:rPr>
          <w:sz w:val="28"/>
        </w:rPr>
        <w:t>they feel their integration in the host community is weak. Encourage participants to explore why this is so and share their experiences.</w:t>
      </w:r>
    </w:p>
    <w:p w:rsidR="001861B8" w:rsidRDefault="001861B8" w:rsidP="007578CA">
      <w:pPr>
        <w:pStyle w:val="ListParagraph"/>
        <w:numPr>
          <w:ilvl w:val="0"/>
          <w:numId w:val="2"/>
        </w:numPr>
        <w:rPr>
          <w:sz w:val="28"/>
        </w:rPr>
      </w:pPr>
      <w:r>
        <w:rPr>
          <w:sz w:val="28"/>
        </w:rPr>
        <w:t xml:space="preserve">Use the experience within the group to identify </w:t>
      </w:r>
      <w:r w:rsidR="007578CA" w:rsidRPr="007578CA">
        <w:rPr>
          <w:sz w:val="28"/>
        </w:rPr>
        <w:t>stereotypes and prejudices of participants on the other individuals, minorities and "different" to raise self-awareness about limitations of tolerance and conflict resolution contrast different values of participants.</w:t>
      </w:r>
    </w:p>
    <w:p w:rsidR="00FB716F" w:rsidRDefault="00FB716F"/>
    <w:p w:rsidR="001861B8" w:rsidRDefault="001861B8"/>
    <w:p w:rsidR="001861B8" w:rsidRDefault="001861B8"/>
    <w:p w:rsidR="001861B8" w:rsidRDefault="001861B8"/>
    <w:p w:rsidR="001861B8" w:rsidRDefault="001861B8"/>
    <w:p w:rsidR="001861B8" w:rsidRDefault="001861B8"/>
    <w:p w:rsidR="001861B8" w:rsidRDefault="001861B8"/>
    <w:p w:rsidR="001861B8" w:rsidRDefault="001861B8">
      <w:r>
        <w:br w:type="page"/>
      </w:r>
    </w:p>
    <w:p w:rsidR="001861B8" w:rsidRDefault="001861B8">
      <w:r>
        <w:rPr>
          <w:noProof/>
          <w:lang w:val="hr-HR" w:eastAsia="hr-HR"/>
        </w:rPr>
        <w:lastRenderedPageBreak/>
        <w:drawing>
          <wp:anchor distT="0" distB="0" distL="114300" distR="114300" simplePos="0" relativeHeight="251665408" behindDoc="0" locked="0" layoutInCell="1" allowOverlap="1" wp14:anchorId="0898FA00" wp14:editId="6FBB7D9B">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1861B8" w:rsidRDefault="001861B8"/>
    <w:p w:rsidR="001861B8" w:rsidRDefault="001861B8"/>
    <w:p w:rsidR="00E71343" w:rsidRDefault="00E71343"/>
    <w:sectPr w:rsidR="00E71343"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67" w:rsidRDefault="00206567" w:rsidP="00FB716F">
      <w:r>
        <w:separator/>
      </w:r>
    </w:p>
  </w:endnote>
  <w:endnote w:type="continuationSeparator" w:id="0">
    <w:p w:rsidR="00206567" w:rsidRDefault="00206567"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48" w:rsidRDefault="00D53E48" w:rsidP="00EE5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16F" w:rsidRDefault="00FB716F" w:rsidP="00D53E48">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B716F" w:rsidRDefault="00FB716F" w:rsidP="00FB716F">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6F" w:rsidRPr="00D53E48" w:rsidRDefault="00FB716F" w:rsidP="00D53E48">
    <w:pPr>
      <w:pStyle w:val="Footer"/>
      <w:framePr w:w="1060" w:wrap="none" w:vAnchor="text" w:hAnchor="page" w:x="8722" w:y="123"/>
      <w:jc w:val="center"/>
      <w:rPr>
        <w:rStyle w:val="PageNumber"/>
        <w:rFonts w:ascii="Arial" w:hAnsi="Arial" w:cs="Arial"/>
        <w:b/>
        <w:bCs/>
        <w:color w:val="FFFFFF" w:themeColor="background1"/>
        <w:sz w:val="36"/>
      </w:rPr>
    </w:pPr>
    <w:r w:rsidRPr="00D53E48">
      <w:rPr>
        <w:rStyle w:val="PageNumber"/>
        <w:rFonts w:ascii="Arial" w:hAnsi="Arial" w:cs="Arial"/>
        <w:b/>
        <w:bCs/>
        <w:color w:val="FFFFFF" w:themeColor="background1"/>
        <w:sz w:val="36"/>
      </w:rPr>
      <w:fldChar w:fldCharType="begin"/>
    </w:r>
    <w:r w:rsidRPr="00D53E48">
      <w:rPr>
        <w:rStyle w:val="PageNumber"/>
        <w:rFonts w:ascii="Arial" w:hAnsi="Arial" w:cs="Arial"/>
        <w:b/>
        <w:bCs/>
        <w:color w:val="FFFFFF" w:themeColor="background1"/>
        <w:sz w:val="36"/>
      </w:rPr>
      <w:instrText xml:space="preserve">PAGE  </w:instrText>
    </w:r>
    <w:r w:rsidRPr="00D53E48">
      <w:rPr>
        <w:rStyle w:val="PageNumber"/>
        <w:rFonts w:ascii="Arial" w:hAnsi="Arial" w:cs="Arial"/>
        <w:b/>
        <w:bCs/>
        <w:color w:val="FFFFFF" w:themeColor="background1"/>
        <w:sz w:val="36"/>
      </w:rPr>
      <w:fldChar w:fldCharType="separate"/>
    </w:r>
    <w:r w:rsidR="00B47A46">
      <w:rPr>
        <w:rStyle w:val="PageNumber"/>
        <w:rFonts w:ascii="Arial" w:hAnsi="Arial" w:cs="Arial"/>
        <w:b/>
        <w:bCs/>
        <w:noProof/>
        <w:color w:val="FFFFFF" w:themeColor="background1"/>
        <w:sz w:val="36"/>
      </w:rPr>
      <w:t>1</w:t>
    </w:r>
    <w:r w:rsidRPr="00D53E48">
      <w:rPr>
        <w:rStyle w:val="PageNumber"/>
        <w:rFonts w:ascii="Arial" w:hAnsi="Arial" w:cs="Arial"/>
        <w:b/>
        <w:bCs/>
        <w:color w:val="FFFFFF" w:themeColor="background1"/>
        <w:sz w:val="36"/>
      </w:rPr>
      <w:fldChar w:fldCharType="end"/>
    </w:r>
  </w:p>
  <w:p w:rsidR="00FB716F" w:rsidRPr="004031E7" w:rsidRDefault="00D53E48" w:rsidP="00D53E48">
    <w:pPr>
      <w:pStyle w:val="Footer"/>
      <w:ind w:right="360" w:firstLine="360"/>
      <w:rPr>
        <w:rFonts w:ascii="Arial" w:hAnsi="Arial" w:cs="Arial"/>
        <w:b/>
        <w:bCs/>
        <w:color w:val="FFFFFF"/>
        <w:sz w:val="36"/>
      </w:rPr>
    </w:pPr>
    <w:r>
      <w:rPr>
        <w:rFonts w:ascii="Arial" w:hAnsi="Arial" w:cs="Arial"/>
        <w:b/>
        <w:bCs/>
        <w:noProof/>
        <w:color w:val="FFFFFF"/>
        <w:sz w:val="36"/>
        <w:lang w:val="hr-HR" w:eastAsia="hr-HR"/>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67" w:rsidRDefault="00206567" w:rsidP="00FB716F">
      <w:r>
        <w:separator/>
      </w:r>
    </w:p>
  </w:footnote>
  <w:footnote w:type="continuationSeparator" w:id="0">
    <w:p w:rsidR="00206567" w:rsidRDefault="00206567" w:rsidP="00FB71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B8"/>
    <w:rsid w:val="00175477"/>
    <w:rsid w:val="001861B8"/>
    <w:rsid w:val="001878DE"/>
    <w:rsid w:val="00206567"/>
    <w:rsid w:val="004031E7"/>
    <w:rsid w:val="00430F90"/>
    <w:rsid w:val="006555D0"/>
    <w:rsid w:val="007578CA"/>
    <w:rsid w:val="007E540D"/>
    <w:rsid w:val="00AA1A37"/>
    <w:rsid w:val="00B47A46"/>
    <w:rsid w:val="00CC6EF8"/>
    <w:rsid w:val="00D34D80"/>
    <w:rsid w:val="00D53E48"/>
    <w:rsid w:val="00DA5CF8"/>
    <w:rsid w:val="00E71343"/>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A867A"/>
  <w14:defaultImageDpi w14:val="32767"/>
  <w15:docId w15:val="{C321178C-A5F7-44A6-8E7D-4FE7000D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paragraph" w:styleId="ListParagraph">
    <w:name w:val="List Paragraph"/>
    <w:basedOn w:val="Normal"/>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1</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ustanovadante1@outlook.com</cp:lastModifiedBy>
  <cp:revision>5</cp:revision>
  <dcterms:created xsi:type="dcterms:W3CDTF">2018-02-22T12:20:00Z</dcterms:created>
  <dcterms:modified xsi:type="dcterms:W3CDTF">2018-05-02T12:42:00Z</dcterms:modified>
</cp:coreProperties>
</file>